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BC15" w14:textId="77777777" w:rsidR="00DD56B9" w:rsidRPr="00B65A94" w:rsidRDefault="00DD56B9" w:rsidP="00DD56B9">
      <w:pPr>
        <w:spacing w:line="276" w:lineRule="auto"/>
        <w:ind w:left="-709" w:right="-483"/>
        <w:rPr>
          <w:rFonts w:ascii="Arvo" w:hAnsi="Arvo"/>
          <w:b/>
          <w:color w:val="F1831E"/>
          <w:sz w:val="52"/>
          <w:szCs w:val="52"/>
          <w:lang w:val="it-IT"/>
        </w:rPr>
      </w:pPr>
      <w:r w:rsidRPr="00B65A94">
        <w:rPr>
          <w:rFonts w:ascii="Arvo" w:hAnsi="Arvo"/>
          <w:b/>
          <w:color w:val="F1831E"/>
          <w:sz w:val="52"/>
          <w:szCs w:val="52"/>
          <w:lang w:val="it-IT"/>
        </w:rPr>
        <w:t>I media hanno bisogno di più donne ai livelli decisionali.</w:t>
      </w:r>
    </w:p>
    <w:p w14:paraId="672498DB" w14:textId="77777777" w:rsidR="00DD56B9" w:rsidRPr="00B65A94" w:rsidRDefault="00DD56B9" w:rsidP="00DD56B9">
      <w:pPr>
        <w:ind w:left="-709" w:right="-483"/>
        <w:rPr>
          <w:rFonts w:asciiTheme="majorHAnsi" w:hAnsiTheme="majorHAnsi"/>
          <w:szCs w:val="22"/>
          <w:lang w:val="it-IT"/>
        </w:rPr>
      </w:pPr>
    </w:p>
    <w:p w14:paraId="0208F89B" w14:textId="77777777" w:rsidR="00DD56B9" w:rsidRPr="00B65A94" w:rsidRDefault="00DD56B9" w:rsidP="00DD56B9">
      <w:pPr>
        <w:pStyle w:val="Titolo2"/>
        <w:ind w:left="-709" w:right="-483"/>
        <w:rPr>
          <w:lang w:val="it-IT"/>
        </w:rPr>
      </w:pPr>
      <w:r w:rsidRPr="00B65A94">
        <w:rPr>
          <w:lang w:val="it-IT"/>
        </w:rPr>
        <w:t>Pubblicato dall’</w:t>
      </w:r>
      <w:r w:rsidRPr="00B65A94">
        <w:rPr>
          <w:lang w:val="en-GB"/>
        </w:rPr>
        <w:t xml:space="preserve">European Institute for Gender Equality </w:t>
      </w:r>
      <w:r w:rsidRPr="00B65A94">
        <w:rPr>
          <w:lang w:val="it-IT"/>
        </w:rPr>
        <w:t xml:space="preserve">(EIGE) il primo rapporto europeo sul numero delle donne ai vertici delle principali organizzazioni dei media nei 27 paesi dell’Unione Europea più la Croazia. </w:t>
      </w:r>
    </w:p>
    <w:p w14:paraId="2D360D21" w14:textId="77777777" w:rsidR="00DD56B9" w:rsidRPr="00B65A94" w:rsidRDefault="00DD56B9" w:rsidP="00DD56B9">
      <w:pPr>
        <w:ind w:left="-709" w:right="-483"/>
        <w:rPr>
          <w:rFonts w:asciiTheme="majorHAnsi" w:hAnsiTheme="majorHAnsi"/>
          <w:szCs w:val="22"/>
          <w:lang w:val="it-IT"/>
        </w:rPr>
      </w:pPr>
    </w:p>
    <w:p w14:paraId="0DA27506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 w:rsidRPr="00B65A94">
        <w:rPr>
          <w:rFonts w:asciiTheme="majorHAnsi" w:hAnsiTheme="majorHAnsi"/>
          <w:sz w:val="24"/>
          <w:lang w:val="it-IT"/>
        </w:rPr>
        <w:t>I risultati dimostrano che - a fronte di un crescente impiego delle donne nelle professioni dei media, in particolare come giornaliste - la cultura organizzativa di supporto rimane prevalentemente maschile e le donne sono ancora notevolmente sotto-rappresentate a tutti i livelli decisionali, anche a causa dell’assenza di interventi normativi e pratiche organizzative finalizzate all’inclusione.</w:t>
      </w:r>
    </w:p>
    <w:p w14:paraId="2C701CFB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</w:p>
    <w:p w14:paraId="64148CB1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 w:rsidRPr="00B65A94">
        <w:rPr>
          <w:rFonts w:asciiTheme="majorHAnsi" w:hAnsiTheme="majorHAnsi"/>
          <w:sz w:val="24"/>
          <w:lang w:val="it-IT"/>
        </w:rPr>
        <w:t xml:space="preserve">I dati per paese evidenziano situazioni molto differenti fra loro. Da un lato, paesi come la Bulgaria e la Lettonia registrano un numero di donne superiore agli uomini a tutti i livelli decisionali e paesi come l’Estonia, la Lituania, la Romania, la Slovenia, la Finlandia e la Svezia hanno percentuali di donne fra il 40% e il 50%. Dall’altro, paesi come l’Irlanda, la Grecia, l’Italia e Malta hanno invece percentuali di donne molto al di sotto della media europea (30%). </w:t>
      </w:r>
    </w:p>
    <w:p w14:paraId="03665565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</w:p>
    <w:p w14:paraId="07E6B72C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 w:rsidRPr="00B65A94">
        <w:rPr>
          <w:rFonts w:asciiTheme="majorHAnsi" w:hAnsiTheme="majorHAnsi"/>
          <w:b/>
          <w:sz w:val="24"/>
          <w:lang w:val="it-IT"/>
        </w:rPr>
        <w:t>Le donne ai vertici delle quattro organizzazione monitorate per l’Italia (Rai, Mediaset, Corriere della Sera, La Repubblica) sono soltanto l’11%.</w:t>
      </w:r>
      <w:r w:rsidRPr="00B65A94">
        <w:rPr>
          <w:rFonts w:asciiTheme="majorHAnsi" w:hAnsiTheme="majorHAnsi"/>
          <w:sz w:val="24"/>
          <w:lang w:val="it-IT"/>
        </w:rPr>
        <w:t xml:space="preserve"> Un risultato lontano dall’obiettivo strategico fissato dalla Piattaforma di azione di Pechino nel 1995.</w:t>
      </w:r>
    </w:p>
    <w:p w14:paraId="390DBE4B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</w:p>
    <w:p w14:paraId="5F4A1CA2" w14:textId="2F8C39CA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 w:rsidRPr="00B65A94">
        <w:rPr>
          <w:rFonts w:asciiTheme="majorHAnsi" w:hAnsiTheme="majorHAnsi"/>
          <w:sz w:val="24"/>
          <w:lang w:val="it-IT"/>
        </w:rPr>
        <w:t xml:space="preserve">Sulla base dei risultati contenuti nel rapporto, il Consiglio dell’Unione Europea </w:t>
      </w:r>
      <w:r w:rsidR="00B65A94">
        <w:rPr>
          <w:rFonts w:asciiTheme="majorHAnsi" w:hAnsiTheme="majorHAnsi"/>
          <w:sz w:val="24"/>
          <w:lang w:val="it-IT"/>
        </w:rPr>
        <w:t>(20</w:t>
      </w:r>
      <w:r w:rsidRPr="00B65A94">
        <w:rPr>
          <w:rFonts w:asciiTheme="majorHAnsi" w:hAnsiTheme="majorHAnsi"/>
          <w:sz w:val="24"/>
          <w:lang w:val="it-IT"/>
        </w:rPr>
        <w:t xml:space="preserve">-21 giugno 2013) ha adottato una Conclusione dedicata all’avanzamento delle donne </w:t>
      </w:r>
      <w:r w:rsidR="00B65A94">
        <w:rPr>
          <w:rFonts w:asciiTheme="majorHAnsi" w:hAnsiTheme="majorHAnsi"/>
          <w:sz w:val="24"/>
          <w:lang w:val="it-IT"/>
        </w:rPr>
        <w:t>ai</w:t>
      </w:r>
      <w:r w:rsidRPr="00B65A94">
        <w:rPr>
          <w:rFonts w:asciiTheme="majorHAnsi" w:hAnsiTheme="majorHAnsi"/>
          <w:sz w:val="24"/>
          <w:lang w:val="it-IT"/>
        </w:rPr>
        <w:t xml:space="preserve"> livelli decisionali nei media, richiamando </w:t>
      </w:r>
      <w:r w:rsidR="003F56C6">
        <w:rPr>
          <w:rFonts w:asciiTheme="majorHAnsi" w:hAnsiTheme="majorHAnsi"/>
          <w:sz w:val="24"/>
          <w:lang w:val="it-IT"/>
        </w:rPr>
        <w:t>al rispetto</w:t>
      </w:r>
      <w:r w:rsidRPr="00B65A94">
        <w:rPr>
          <w:rFonts w:asciiTheme="majorHAnsi" w:hAnsiTheme="majorHAnsi"/>
          <w:sz w:val="24"/>
          <w:lang w:val="it-IT"/>
        </w:rPr>
        <w:t xml:space="preserve"> degli obiettivi strategici di Pechino tutti gli Stati membri dell’Unione, le loro istituzioni, le aziende che operano nel settore dei media e le organizzazioni di </w:t>
      </w:r>
      <w:r w:rsidRPr="00B65A94">
        <w:rPr>
          <w:rFonts w:asciiTheme="majorHAnsi" w:hAnsiTheme="majorHAnsi"/>
          <w:sz w:val="24"/>
          <w:lang w:val="it-IT"/>
        </w:rPr>
        <w:lastRenderedPageBreak/>
        <w:t>professionisti e professioniste dei media con il contributo del mondo della ricerca e delle organizzazioni della società civile.</w:t>
      </w:r>
    </w:p>
    <w:p w14:paraId="39396771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</w:p>
    <w:p w14:paraId="6A4225CD" w14:textId="421FE509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 w:rsidRPr="00B65A94">
        <w:rPr>
          <w:rFonts w:asciiTheme="majorHAnsi" w:hAnsiTheme="majorHAnsi"/>
          <w:sz w:val="24"/>
          <w:lang w:val="it-IT"/>
        </w:rPr>
        <w:t xml:space="preserve">Il rapporto di EIGE propone tre indicatori per l’area strategica “Donne e Media” della Piattaforma di Pechino, che il Consiglio  dell’Unione ha adottato, invitando i paesi membri dell’Unione Europea </w:t>
      </w:r>
      <w:r w:rsidR="003F56C6">
        <w:rPr>
          <w:rFonts w:asciiTheme="majorHAnsi" w:hAnsiTheme="majorHAnsi"/>
          <w:sz w:val="24"/>
          <w:lang w:val="it-IT"/>
        </w:rPr>
        <w:t>a</w:t>
      </w:r>
      <w:r w:rsidRPr="00B65A94">
        <w:rPr>
          <w:rFonts w:asciiTheme="majorHAnsi" w:hAnsiTheme="majorHAnsi"/>
          <w:sz w:val="24"/>
          <w:lang w:val="it-IT"/>
        </w:rPr>
        <w:t xml:space="preserve"> un monitoraggio regolare al fine di rafforzare l’uguaglianza di genere nel settore dei media, a partire dalle posizioni dirigenziali.</w:t>
      </w:r>
    </w:p>
    <w:p w14:paraId="06B11BD1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</w:p>
    <w:p w14:paraId="5384DB72" w14:textId="6792038C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 w:rsidRPr="00B65A94">
        <w:rPr>
          <w:rFonts w:asciiTheme="majorHAnsi" w:hAnsiTheme="majorHAnsi"/>
          <w:sz w:val="24"/>
          <w:lang w:val="it-IT"/>
        </w:rPr>
        <w:t xml:space="preserve">L’indagine su cui si basa il rapporto EIGE è stata condotta da un consorzio di quattro partner europei (l’Università di Liverpool, l’Università di Padova, l’Osservatorio di Pavia, l’Università di Zseged) con la collaborazione di 28 team di ricerca nei </w:t>
      </w:r>
      <w:r w:rsidR="003F56C6">
        <w:rPr>
          <w:rFonts w:asciiTheme="majorHAnsi" w:hAnsiTheme="majorHAnsi"/>
          <w:sz w:val="24"/>
          <w:lang w:val="it-IT"/>
        </w:rPr>
        <w:t xml:space="preserve">27 </w:t>
      </w:r>
      <w:r w:rsidRPr="00B65A94">
        <w:rPr>
          <w:rFonts w:asciiTheme="majorHAnsi" w:hAnsiTheme="majorHAnsi"/>
          <w:sz w:val="24"/>
          <w:lang w:val="it-IT"/>
        </w:rPr>
        <w:t xml:space="preserve">paesi </w:t>
      </w:r>
      <w:r w:rsidR="003F56C6">
        <w:rPr>
          <w:rFonts w:asciiTheme="majorHAnsi" w:hAnsiTheme="majorHAnsi"/>
          <w:sz w:val="24"/>
          <w:lang w:val="it-IT"/>
        </w:rPr>
        <w:t>dell’Unione più la Croazia</w:t>
      </w:r>
      <w:r w:rsidRPr="00B65A94">
        <w:rPr>
          <w:rFonts w:asciiTheme="majorHAnsi" w:hAnsiTheme="majorHAnsi"/>
          <w:sz w:val="24"/>
          <w:lang w:val="it-IT"/>
        </w:rPr>
        <w:t>.</w:t>
      </w:r>
    </w:p>
    <w:p w14:paraId="2AE378EF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</w:p>
    <w:p w14:paraId="73A33E77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 w:rsidRPr="00B65A94">
        <w:rPr>
          <w:rFonts w:asciiTheme="majorHAnsi" w:hAnsiTheme="majorHAnsi"/>
          <w:sz w:val="24"/>
          <w:lang w:val="it-IT"/>
        </w:rPr>
        <w:t>Per informazioni e contatti: Monia Azzalini – Osservatorio di Pavia (</w:t>
      </w:r>
      <w:hyperlink r:id="rId7" w:history="1">
        <w:r w:rsidRPr="00B65A94">
          <w:rPr>
            <w:rStyle w:val="Collegamentoipertestuale"/>
            <w:rFonts w:asciiTheme="majorHAnsi" w:hAnsiTheme="majorHAnsi"/>
            <w:sz w:val="24"/>
            <w:lang w:val="it-IT"/>
          </w:rPr>
          <w:t>mazzalini@osservatorio.it</w:t>
        </w:r>
      </w:hyperlink>
      <w:r w:rsidRPr="00B65A94">
        <w:rPr>
          <w:rFonts w:asciiTheme="majorHAnsi" w:hAnsiTheme="majorHAnsi"/>
          <w:sz w:val="24"/>
          <w:lang w:val="it-IT"/>
        </w:rPr>
        <w:t>); Claudia Padovani – Università di Padova (claudia.padovani@unipd.it).</w:t>
      </w:r>
    </w:p>
    <w:p w14:paraId="58A04CAC" w14:textId="77777777" w:rsidR="00DD56B9" w:rsidRPr="00B65A94" w:rsidRDefault="00DD56B9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</w:p>
    <w:p w14:paraId="18AA3CA0" w14:textId="77777777" w:rsidR="00DD56B9" w:rsidRPr="003F56C6" w:rsidRDefault="00DD56B9" w:rsidP="00B65A94">
      <w:pPr>
        <w:spacing w:line="288" w:lineRule="auto"/>
        <w:ind w:left="-709" w:right="-482"/>
        <w:rPr>
          <w:rFonts w:asciiTheme="majorHAnsi" w:hAnsiTheme="majorHAnsi"/>
          <w:color w:val="auto"/>
          <w:sz w:val="24"/>
          <w:lang w:val="it-IT"/>
        </w:rPr>
      </w:pPr>
      <w:r w:rsidRPr="003F56C6">
        <w:rPr>
          <w:rFonts w:asciiTheme="majorHAnsi" w:hAnsiTheme="majorHAnsi"/>
          <w:color w:val="auto"/>
          <w:sz w:val="24"/>
          <w:lang w:val="it-IT"/>
        </w:rPr>
        <w:t>Scarica il Rapporto</w:t>
      </w:r>
    </w:p>
    <w:p w14:paraId="3C0DD89B" w14:textId="2E65F805" w:rsidR="00DD56B9" w:rsidRPr="00B65A94" w:rsidRDefault="003F56C6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hyperlink r:id="rId8" w:history="1">
        <w:r w:rsidRPr="003F56C6">
          <w:rPr>
            <w:rStyle w:val="Collegamentoipertestuale"/>
            <w:rFonts w:asciiTheme="majorHAnsi" w:hAnsiTheme="majorHAnsi"/>
            <w:sz w:val="24"/>
            <w:lang w:val="en-GB"/>
          </w:rPr>
          <w:t>Review of the implementation of the Beijing Platform for Action in the EU Member States: Women and the Media – Advancing gender equality in decision-making in media organisations</w:t>
        </w:r>
      </w:hyperlink>
    </w:p>
    <w:p w14:paraId="18E8AF7C" w14:textId="77777777" w:rsidR="003F56C6" w:rsidRDefault="003F56C6" w:rsidP="00B65A94">
      <w:pPr>
        <w:spacing w:line="288" w:lineRule="auto"/>
        <w:ind w:left="-709" w:right="-482"/>
        <w:rPr>
          <w:rFonts w:asciiTheme="majorHAnsi" w:hAnsiTheme="majorHAnsi"/>
          <w:color w:val="3366FF"/>
          <w:sz w:val="24"/>
          <w:lang w:val="it-IT"/>
        </w:rPr>
      </w:pPr>
    </w:p>
    <w:p w14:paraId="7A3B8207" w14:textId="77777777" w:rsidR="00DD56B9" w:rsidRPr="003F56C6" w:rsidRDefault="00DD56B9" w:rsidP="00B65A94">
      <w:pPr>
        <w:spacing w:line="288" w:lineRule="auto"/>
        <w:ind w:left="-709" w:right="-482"/>
        <w:rPr>
          <w:rFonts w:asciiTheme="majorHAnsi" w:hAnsiTheme="majorHAnsi"/>
          <w:color w:val="auto"/>
          <w:sz w:val="24"/>
          <w:lang w:val="it-IT"/>
        </w:rPr>
      </w:pPr>
      <w:r w:rsidRPr="003F56C6">
        <w:rPr>
          <w:rFonts w:asciiTheme="majorHAnsi" w:hAnsiTheme="majorHAnsi"/>
          <w:color w:val="auto"/>
          <w:sz w:val="24"/>
          <w:lang w:val="it-IT"/>
        </w:rPr>
        <w:t>Scarica l’abstract del Rapporto</w:t>
      </w:r>
    </w:p>
    <w:p w14:paraId="17AB4B4F" w14:textId="77777777" w:rsidR="003F56C6" w:rsidRDefault="003F56C6" w:rsidP="00B65A94">
      <w:pPr>
        <w:spacing w:line="288" w:lineRule="auto"/>
        <w:ind w:left="-709" w:right="-482"/>
        <w:rPr>
          <w:rFonts w:asciiTheme="majorHAnsi" w:hAnsiTheme="majorHAnsi"/>
          <w:color w:val="3366FF"/>
          <w:sz w:val="24"/>
          <w:lang w:val="en-GB"/>
        </w:rPr>
      </w:pPr>
      <w:hyperlink r:id="rId9" w:history="1">
        <w:r w:rsidRPr="003F56C6">
          <w:rPr>
            <w:rStyle w:val="Collegamentoipertestuale"/>
            <w:rFonts w:asciiTheme="majorHAnsi" w:hAnsiTheme="majorHAnsi"/>
            <w:sz w:val="24"/>
            <w:lang w:val="en-GB"/>
          </w:rPr>
          <w:t>Fact-sheet- – Advancing gender equality in decision-making in media organisations</w:t>
        </w:r>
      </w:hyperlink>
    </w:p>
    <w:p w14:paraId="6C45CD8B" w14:textId="2174D637" w:rsidR="00DD56B9" w:rsidRPr="00B65A94" w:rsidRDefault="003F56C6" w:rsidP="00B65A94">
      <w:pPr>
        <w:spacing w:line="288" w:lineRule="auto"/>
        <w:ind w:left="-709" w:right="-482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color w:val="3366FF"/>
          <w:sz w:val="24"/>
          <w:lang w:val="en-GB"/>
        </w:rPr>
        <w:t xml:space="preserve"> </w:t>
      </w:r>
    </w:p>
    <w:p w14:paraId="4CEB3CD7" w14:textId="77777777" w:rsidR="00DD56B9" w:rsidRPr="003F56C6" w:rsidRDefault="00DD56B9" w:rsidP="00B65A94">
      <w:pPr>
        <w:spacing w:line="288" w:lineRule="auto"/>
        <w:ind w:left="-709" w:right="-482"/>
        <w:rPr>
          <w:rFonts w:asciiTheme="majorHAnsi" w:hAnsiTheme="majorHAnsi"/>
          <w:color w:val="auto"/>
          <w:sz w:val="24"/>
          <w:lang w:val="it-IT"/>
        </w:rPr>
      </w:pPr>
      <w:r w:rsidRPr="003F56C6">
        <w:rPr>
          <w:rFonts w:asciiTheme="majorHAnsi" w:hAnsiTheme="majorHAnsi"/>
          <w:color w:val="auto"/>
          <w:sz w:val="24"/>
          <w:lang w:val="it-IT"/>
        </w:rPr>
        <w:t>Scarica le Conclusioni del Consiglio</w:t>
      </w:r>
    </w:p>
    <w:p w14:paraId="01F40090" w14:textId="0F96BC7C" w:rsidR="0076128E" w:rsidRPr="00B65A94" w:rsidRDefault="003F56C6" w:rsidP="00B65A94">
      <w:pPr>
        <w:widowControl w:val="0"/>
        <w:autoSpaceDE w:val="0"/>
        <w:autoSpaceDN w:val="0"/>
        <w:adjustRightInd w:val="0"/>
        <w:spacing w:line="288" w:lineRule="auto"/>
        <w:ind w:left="-709" w:right="-482"/>
        <w:rPr>
          <w:rFonts w:asciiTheme="majorHAnsi" w:hAnsiTheme="majorHAnsi"/>
          <w:sz w:val="24"/>
          <w:lang w:val="en-GB"/>
        </w:rPr>
      </w:pPr>
      <w:hyperlink r:id="rId10" w:history="1">
        <w:r w:rsidR="00DD56B9" w:rsidRPr="003F56C6">
          <w:rPr>
            <w:rStyle w:val="Collegamentoipertestuale"/>
            <w:rFonts w:asciiTheme="majorHAnsi" w:hAnsiTheme="majorHAnsi" w:cs="Times New Roman"/>
            <w:sz w:val="24"/>
            <w:lang w:val="en-GB"/>
          </w:rPr>
          <w:t xml:space="preserve">Council conclusions - "Advancing Women’s Roles as Decision-makers in the Media", EMPLOYMENT, SOCIAL POLICY, HEALTH and CONSUMER AFFAIRS, Council meeting, Brussels, 20-21 June </w:t>
        </w:r>
        <w:r w:rsidR="00B65A94" w:rsidRPr="003F56C6">
          <w:rPr>
            <w:rStyle w:val="Collegamentoipertestuale"/>
            <w:rFonts w:asciiTheme="majorHAnsi" w:hAnsiTheme="majorHAnsi" w:cs="Times New Roman"/>
            <w:sz w:val="24"/>
            <w:lang w:val="en-GB"/>
          </w:rPr>
          <w:t>2013</w:t>
        </w:r>
      </w:hyperlink>
      <w:r w:rsidR="00DD56B9" w:rsidRPr="00B65A94">
        <w:rPr>
          <w:rFonts w:asciiTheme="majorHAnsi" w:hAnsiTheme="majorHAnsi" w:cs="Times New Roman"/>
          <w:color w:val="3366FF"/>
          <w:sz w:val="24"/>
          <w:lang w:val="en-GB"/>
        </w:rPr>
        <w:t>.</w:t>
      </w:r>
      <w:bookmarkStart w:id="0" w:name="_GoBack"/>
      <w:bookmarkEnd w:id="0"/>
    </w:p>
    <w:sectPr w:rsidR="0076128E" w:rsidRPr="00B65A94" w:rsidSect="00AC274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3402" w:right="1797" w:bottom="1985" w:left="1797" w:header="226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532B0" w14:textId="77777777" w:rsidR="000542BA" w:rsidRDefault="000542BA" w:rsidP="000542BA">
      <w:r>
        <w:separator/>
      </w:r>
    </w:p>
  </w:endnote>
  <w:endnote w:type="continuationSeparator" w:id="0">
    <w:p w14:paraId="62FFB914" w14:textId="77777777" w:rsidR="000542BA" w:rsidRDefault="000542BA" w:rsidP="0005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Menlo Regular"/>
    <w:charset w:val="00"/>
    <w:family w:val="auto"/>
    <w:pitch w:val="variable"/>
    <w:sig w:usb0="E00002EF" w:usb1="4000205B" w:usb2="00000028" w:usb3="00000000" w:csb0="0000019F" w:csb1="00000000"/>
  </w:font>
  <w:font w:name="Arvo">
    <w:altName w:val="Times New Roman"/>
    <w:charset w:val="00"/>
    <w:family w:val="auto"/>
    <w:pitch w:val="variable"/>
    <w:sig w:usb0="800000A7" w:usb1="00000041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E7AFD2" w14:textId="794EB962" w:rsidR="00FB4417" w:rsidRDefault="003F56C6" w:rsidP="00813072">
    <w:pPr>
      <w:pStyle w:val="Pidipagina"/>
      <w:ind w:left="-709"/>
    </w:pPr>
    <w:r>
      <w:rPr>
        <w:noProof/>
        <w:lang w:val="it-IT" w:eastAsia="it-IT"/>
      </w:rPr>
      <w:pict w14:anchorId="5C2AD884"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left:0;text-align:left;margin-left:387pt;margin-top:18.9pt;width:18pt;height:9pt;z-index:251665408" filled="f" stroked="f">
          <v:fill o:detectmouseclick="t"/>
          <v:textbox style="mso-next-textbox:#_x0000_s1029" inset=",7.2pt,,7.2pt">
            <w:txbxContent>
              <w:p w14:paraId="70EAF43B" w14:textId="77777777" w:rsidR="003F56C6" w:rsidRDefault="003F56C6" w:rsidP="00FB4417"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</w:rPr>
      <w:pict w14:anchorId="2C34E965">
        <v:shape id="_x0000_s1029" type="#_x0000_t202" style="position:absolute;left:0;text-align:left;margin-left:405pt;margin-top:-6.1pt;width:81pt;height:27pt;z-index:251661312" filled="f" stroked="f">
          <v:fill o:detectmouseclick="t"/>
          <v:textbox inset=",7.2pt,,7.2pt">
            <w:txbxContent/>
          </v:textbox>
        </v:shape>
      </w:pict>
    </w:r>
    <w:r w:rsidR="00DD56B9">
      <w:t>Comunicato stampa ITA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638BB" w14:textId="77777777" w:rsidR="000542BA" w:rsidRDefault="000542BA" w:rsidP="000542BA">
      <w:r>
        <w:separator/>
      </w:r>
    </w:p>
  </w:footnote>
  <w:footnote w:type="continuationSeparator" w:id="0">
    <w:p w14:paraId="08EFFF73" w14:textId="77777777" w:rsidR="000542BA" w:rsidRDefault="000542BA" w:rsidP="000542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C3FBB9C" w14:textId="6F0CFCC7" w:rsidR="000542BA" w:rsidRDefault="003F56C6">
    <w:pPr>
      <w:pStyle w:val="Intestazione"/>
    </w:pPr>
    <w:r>
      <w:rPr>
        <w:noProof/>
      </w:rPr>
      <w:pict w14:anchorId="604A3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left:0;text-align:left;margin-left:0;margin-top:0;width:595.15pt;height:850.95pt;z-index:-251653120;mso-wrap-edited:f;mso-position-horizontal:center;mso-position-horizontal-relative:margin;mso-position-vertical:center;mso-position-vertical-relative:margin" wrapcoords="-27 0 -27 3615 10800 3653 10800 19487 -27 19506 -27 21333 21600 21333 21600 19506 10800 19487 10800 3653 21600 3615 21600 0 -27 0">
          <v:imagedata r:id="rId1" o:title="carta_intestata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56F1B9" w14:textId="3608A82D" w:rsidR="000542BA" w:rsidRDefault="003F56C6" w:rsidP="00813072">
    <w:pPr>
      <w:pStyle w:val="Intestazione"/>
      <w:ind w:left="-709"/>
    </w:pPr>
    <w:r>
      <w:rPr>
        <w:noProof/>
      </w:rPr>
      <w:pict w14:anchorId="36DD9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left:0;text-align:left;margin-left:-89.9pt;margin-top:-169.95pt;width:595.15pt;height:850.95pt;z-index:-251654144;mso-wrap-edited:f;mso-position-horizontal-relative:margin;mso-position-vertical-relative:margin" wrapcoords="-27 0 -27 3615 10800 3653 10800 19487 -27 19506 -27 21333 21600 21333 21600 19506 10800 19487 10800 3653 21600 3615 21600 0 -27 0">
          <v:imagedata r:id="rId1" o:title="carta_intestata.png"/>
          <w10:wrap anchorx="margin" anchory="margin"/>
        </v:shape>
      </w:pict>
    </w:r>
    <w:r w:rsidR="00DD56B9">
      <w:rPr>
        <w:noProof/>
      </w:rPr>
      <w:t xml:space="preserve">Rapporto EIGE Donne nei Media </w:t>
    </w:r>
    <w:r w:rsidR="00B65A94">
      <w:rPr>
        <w:noProof/>
      </w:rPr>
      <w:t>Giugno</w:t>
    </w:r>
    <w:r w:rsidR="00DD56B9">
      <w:rPr>
        <w:noProof/>
      </w:rPr>
      <w:t xml:space="preserve"> 2013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ABBF96" w14:textId="1B387803" w:rsidR="000542BA" w:rsidRDefault="003F56C6">
    <w:pPr>
      <w:pStyle w:val="Intestazione"/>
    </w:pPr>
    <w:r>
      <w:rPr>
        <w:noProof/>
      </w:rPr>
      <w:pict w14:anchorId="6060D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595.15pt;height:850.95pt;z-index:-251652096;mso-wrap-edited:f;mso-position-horizontal:center;mso-position-horizontal-relative:margin;mso-position-vertical:center;mso-position-vertical-relative:margin" wrapcoords="-27 0 -27 3615 10800 3653 10800 19487 -27 19506 -27 21333 21600 21333 21600 19506 10800 19487 10800 3653 21600 3615 21600 0 -27 0">
          <v:imagedata r:id="rId1" o:title="carta_intestata.p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283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BA"/>
    <w:rsid w:val="000542BA"/>
    <w:rsid w:val="001560C0"/>
    <w:rsid w:val="001B32B1"/>
    <w:rsid w:val="001F49D5"/>
    <w:rsid w:val="003F56C6"/>
    <w:rsid w:val="0076128E"/>
    <w:rsid w:val="00813072"/>
    <w:rsid w:val="00AC274B"/>
    <w:rsid w:val="00B65A94"/>
    <w:rsid w:val="00DA1AAD"/>
    <w:rsid w:val="00DC00C0"/>
    <w:rsid w:val="00DD56B9"/>
    <w:rsid w:val="00F71FC1"/>
    <w:rsid w:val="00FB3E30"/>
    <w:rsid w:val="00F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0FE46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B1"/>
    <w:pPr>
      <w:spacing w:line="360" w:lineRule="auto"/>
      <w:jc w:val="both"/>
    </w:pPr>
    <w:rPr>
      <w:rFonts w:ascii="Open Sans" w:hAnsi="Open Sans"/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2B1"/>
    <w:pPr>
      <w:keepNext/>
      <w:keepLines/>
      <w:spacing w:before="480"/>
      <w:outlineLvl w:val="0"/>
    </w:pPr>
    <w:rPr>
      <w:rFonts w:ascii="Arvo" w:eastAsiaTheme="majorEastAsia" w:hAnsi="Arvo" w:cstheme="majorBidi"/>
      <w:b/>
      <w:bCs/>
      <w:color w:val="E36C0A" w:themeColor="accent6" w:themeShade="BF"/>
      <w:sz w:val="40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B32B1"/>
    <w:pPr>
      <w:spacing w:before="200"/>
      <w:outlineLvl w:val="1"/>
    </w:pPr>
    <w:rPr>
      <w:b w:val="0"/>
      <w:bCs w:val="0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2B1"/>
    <w:pPr>
      <w:keepNext/>
      <w:keepLines/>
      <w:spacing w:before="200"/>
      <w:outlineLvl w:val="2"/>
    </w:pPr>
    <w:rPr>
      <w:rFonts w:ascii="Arvo" w:eastAsiaTheme="majorEastAsia" w:hAnsi="Arvo" w:cstheme="majorBidi"/>
      <w:b/>
      <w:bCs/>
      <w:color w:val="E36C0A" w:themeColor="accent6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1AAD"/>
    <w:pPr>
      <w:tabs>
        <w:tab w:val="center" w:pos="4320"/>
        <w:tab w:val="right" w:pos="8640"/>
      </w:tabs>
    </w:pPr>
    <w:rPr>
      <w:color w:val="FFFFFF" w:themeColor="background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1AAD"/>
    <w:rPr>
      <w:rFonts w:ascii="Open Sans" w:hAnsi="Open Sans"/>
      <w:color w:val="FFFFFF" w:themeColor="background1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B4417"/>
    <w:pPr>
      <w:tabs>
        <w:tab w:val="center" w:pos="4320"/>
        <w:tab w:val="right" w:pos="8640"/>
      </w:tabs>
    </w:pPr>
    <w:rPr>
      <w:color w:val="0D0D0D" w:themeColor="text1" w:themeTint="F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4417"/>
    <w:rPr>
      <w:rFonts w:ascii="Open Sans" w:hAnsi="Open Sans"/>
      <w:color w:val="0D0D0D" w:themeColor="text1" w:themeTint="F2"/>
      <w:sz w:val="2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B32B1"/>
    <w:rPr>
      <w:rFonts w:ascii="Arvo" w:eastAsiaTheme="majorEastAsia" w:hAnsi="Arvo" w:cstheme="majorBidi"/>
      <w:b/>
      <w:bCs/>
      <w:color w:val="E36C0A" w:themeColor="accent6" w:themeShade="BF"/>
      <w:sz w:val="40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B32B1"/>
    <w:rPr>
      <w:rFonts w:ascii="Arvo" w:eastAsiaTheme="majorEastAsia" w:hAnsi="Arvo" w:cstheme="majorBidi"/>
      <w:color w:val="E36C0A" w:themeColor="accent6" w:themeShade="BF"/>
      <w:sz w:val="28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32B1"/>
    <w:pPr>
      <w:pBdr>
        <w:bottom w:val="single" w:sz="8" w:space="4" w:color="A6A6A6" w:themeColor="background1" w:themeShade="A6"/>
      </w:pBdr>
      <w:spacing w:after="300"/>
      <w:contextualSpacing/>
    </w:pPr>
    <w:rPr>
      <w:rFonts w:ascii="Arvo" w:eastAsiaTheme="majorEastAsia" w:hAnsi="Arvo" w:cstheme="majorBidi"/>
      <w:color w:val="E36C0A" w:themeColor="accent6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B32B1"/>
    <w:rPr>
      <w:rFonts w:ascii="Arvo" w:eastAsiaTheme="majorEastAsia" w:hAnsi="Arvo" w:cstheme="majorBidi"/>
      <w:color w:val="E36C0A" w:themeColor="accent6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B32B1"/>
    <w:rPr>
      <w:rFonts w:ascii="Arvo" w:eastAsiaTheme="majorEastAsia" w:hAnsi="Arvo" w:cstheme="majorBidi"/>
      <w:b/>
      <w:bCs/>
      <w:color w:val="E36C0A" w:themeColor="accent6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32B1"/>
    <w:pPr>
      <w:numPr>
        <w:ilvl w:val="1"/>
      </w:numPr>
    </w:pPr>
    <w:rPr>
      <w:rFonts w:ascii="Arvo" w:eastAsiaTheme="majorEastAsia" w:hAnsi="Arvo" w:cstheme="majorBidi"/>
      <w:i/>
      <w:iCs/>
      <w:color w:val="E36C0A" w:themeColor="accent6" w:themeShade="BF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1B32B1"/>
    <w:rPr>
      <w:rFonts w:ascii="Arvo" w:eastAsiaTheme="majorEastAsia" w:hAnsi="Arvo" w:cstheme="majorBidi"/>
      <w:i/>
      <w:iCs/>
      <w:color w:val="E36C0A" w:themeColor="accent6" w:themeShade="BF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07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3072"/>
    <w:rPr>
      <w:rFonts w:ascii="Lucida Grande" w:hAnsi="Lucida Grande" w:cs="Lucida Grande"/>
      <w:color w:val="404040" w:themeColor="text1" w:themeTint="BF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D5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B1"/>
    <w:pPr>
      <w:spacing w:line="360" w:lineRule="auto"/>
      <w:jc w:val="both"/>
    </w:pPr>
    <w:rPr>
      <w:rFonts w:ascii="Open Sans" w:hAnsi="Open Sans"/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2B1"/>
    <w:pPr>
      <w:keepNext/>
      <w:keepLines/>
      <w:spacing w:before="480"/>
      <w:outlineLvl w:val="0"/>
    </w:pPr>
    <w:rPr>
      <w:rFonts w:ascii="Arvo" w:eastAsiaTheme="majorEastAsia" w:hAnsi="Arvo" w:cstheme="majorBidi"/>
      <w:b/>
      <w:bCs/>
      <w:color w:val="E36C0A" w:themeColor="accent6" w:themeShade="BF"/>
      <w:sz w:val="40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B32B1"/>
    <w:pPr>
      <w:spacing w:before="200"/>
      <w:outlineLvl w:val="1"/>
    </w:pPr>
    <w:rPr>
      <w:b w:val="0"/>
      <w:bCs w:val="0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2B1"/>
    <w:pPr>
      <w:keepNext/>
      <w:keepLines/>
      <w:spacing w:before="200"/>
      <w:outlineLvl w:val="2"/>
    </w:pPr>
    <w:rPr>
      <w:rFonts w:ascii="Arvo" w:eastAsiaTheme="majorEastAsia" w:hAnsi="Arvo" w:cstheme="majorBidi"/>
      <w:b/>
      <w:bCs/>
      <w:color w:val="E36C0A" w:themeColor="accent6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1AAD"/>
    <w:pPr>
      <w:tabs>
        <w:tab w:val="center" w:pos="4320"/>
        <w:tab w:val="right" w:pos="8640"/>
      </w:tabs>
    </w:pPr>
    <w:rPr>
      <w:color w:val="FFFFFF" w:themeColor="background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1AAD"/>
    <w:rPr>
      <w:rFonts w:ascii="Open Sans" w:hAnsi="Open Sans"/>
      <w:color w:val="FFFFFF" w:themeColor="background1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B4417"/>
    <w:pPr>
      <w:tabs>
        <w:tab w:val="center" w:pos="4320"/>
        <w:tab w:val="right" w:pos="8640"/>
      </w:tabs>
    </w:pPr>
    <w:rPr>
      <w:color w:val="0D0D0D" w:themeColor="text1" w:themeTint="F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4417"/>
    <w:rPr>
      <w:rFonts w:ascii="Open Sans" w:hAnsi="Open Sans"/>
      <w:color w:val="0D0D0D" w:themeColor="text1" w:themeTint="F2"/>
      <w:sz w:val="2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B32B1"/>
    <w:rPr>
      <w:rFonts w:ascii="Arvo" w:eastAsiaTheme="majorEastAsia" w:hAnsi="Arvo" w:cstheme="majorBidi"/>
      <w:b/>
      <w:bCs/>
      <w:color w:val="E36C0A" w:themeColor="accent6" w:themeShade="BF"/>
      <w:sz w:val="40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B32B1"/>
    <w:rPr>
      <w:rFonts w:ascii="Arvo" w:eastAsiaTheme="majorEastAsia" w:hAnsi="Arvo" w:cstheme="majorBidi"/>
      <w:color w:val="E36C0A" w:themeColor="accent6" w:themeShade="BF"/>
      <w:sz w:val="28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32B1"/>
    <w:pPr>
      <w:pBdr>
        <w:bottom w:val="single" w:sz="8" w:space="4" w:color="A6A6A6" w:themeColor="background1" w:themeShade="A6"/>
      </w:pBdr>
      <w:spacing w:after="300"/>
      <w:contextualSpacing/>
    </w:pPr>
    <w:rPr>
      <w:rFonts w:ascii="Arvo" w:eastAsiaTheme="majorEastAsia" w:hAnsi="Arvo" w:cstheme="majorBidi"/>
      <w:color w:val="E36C0A" w:themeColor="accent6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B32B1"/>
    <w:rPr>
      <w:rFonts w:ascii="Arvo" w:eastAsiaTheme="majorEastAsia" w:hAnsi="Arvo" w:cstheme="majorBidi"/>
      <w:color w:val="E36C0A" w:themeColor="accent6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B32B1"/>
    <w:rPr>
      <w:rFonts w:ascii="Arvo" w:eastAsiaTheme="majorEastAsia" w:hAnsi="Arvo" w:cstheme="majorBidi"/>
      <w:b/>
      <w:bCs/>
      <w:color w:val="E36C0A" w:themeColor="accent6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32B1"/>
    <w:pPr>
      <w:numPr>
        <w:ilvl w:val="1"/>
      </w:numPr>
    </w:pPr>
    <w:rPr>
      <w:rFonts w:ascii="Arvo" w:eastAsiaTheme="majorEastAsia" w:hAnsi="Arvo" w:cstheme="majorBidi"/>
      <w:i/>
      <w:iCs/>
      <w:color w:val="E36C0A" w:themeColor="accent6" w:themeShade="BF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1B32B1"/>
    <w:rPr>
      <w:rFonts w:ascii="Arvo" w:eastAsiaTheme="majorEastAsia" w:hAnsi="Arvo" w:cstheme="majorBidi"/>
      <w:i/>
      <w:iCs/>
      <w:color w:val="E36C0A" w:themeColor="accent6" w:themeShade="BF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07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3072"/>
    <w:rPr>
      <w:rFonts w:ascii="Lucida Grande" w:hAnsi="Lucida Grande" w:cs="Lucida Grande"/>
      <w:color w:val="404040" w:themeColor="text1" w:themeTint="BF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D5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zzalini@osservatorio.it" TargetMode="External"/><Relationship Id="rId8" Type="http://schemas.openxmlformats.org/officeDocument/2006/relationships/hyperlink" Target="http://eige.europa.eu/content/document/advancing-gender-equality-in-decision-making-in-media-organisations-report" TargetMode="External"/><Relationship Id="rId9" Type="http://schemas.openxmlformats.org/officeDocument/2006/relationships/hyperlink" Target="http://eige.europa.eu/content/document/fact-sheet-advancing-gender-equality-in-decision-making-in-media-organisations" TargetMode="External"/><Relationship Id="rId10" Type="http://schemas.openxmlformats.org/officeDocument/2006/relationships/hyperlink" Target="http://www.consilium.europa.eu/uedocs/cms_data/docs/pressdata/en/lsa/13754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Titolo 1</vt:lpstr>
      <vt:lpstr>    Titolo 2</vt:lpstr>
      <vt:lpstr>        Titolo 3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Ferrin</dc:creator>
  <cp:keywords/>
  <dc:description/>
  <cp:lastModifiedBy>Monia Azzalini</cp:lastModifiedBy>
  <cp:revision>4</cp:revision>
  <cp:lastPrinted>2013-05-29T14:59:00Z</cp:lastPrinted>
  <dcterms:created xsi:type="dcterms:W3CDTF">2013-07-02T06:33:00Z</dcterms:created>
  <dcterms:modified xsi:type="dcterms:W3CDTF">2013-07-02T06:43:00Z</dcterms:modified>
</cp:coreProperties>
</file>